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13B4C" w14:textId="77777777" w:rsidR="000638BA" w:rsidRPr="00A8237F" w:rsidRDefault="000638BA" w:rsidP="000638BA">
      <w:pPr>
        <w:pStyle w:val="IntenseQuote"/>
        <w:spacing w:after="120"/>
        <w:ind w:left="862" w:right="862"/>
        <w:rPr>
          <w:b/>
          <w:bCs/>
          <w:lang w:val="en-GB"/>
        </w:rPr>
      </w:pPr>
      <w:r w:rsidRPr="00A8237F">
        <w:rPr>
          <w:b/>
          <w:bCs/>
          <w:lang w:val="en-GB"/>
        </w:rPr>
        <w:t xml:space="preserve">Summary of work carried out by G1124 PAWSA sub-committee </w:t>
      </w:r>
    </w:p>
    <w:p w14:paraId="5C82DD31" w14:textId="6989362F" w:rsidR="00A9204E" w:rsidRPr="00A8237F" w:rsidRDefault="000638BA" w:rsidP="000638BA">
      <w:pPr>
        <w:pStyle w:val="IntenseQuote"/>
        <w:spacing w:before="120" w:after="120"/>
        <w:ind w:left="862" w:right="862"/>
        <w:rPr>
          <w:b/>
          <w:bCs/>
          <w:lang w:val="en-GB"/>
        </w:rPr>
      </w:pPr>
      <w:r w:rsidRPr="00A8237F">
        <w:rPr>
          <w:b/>
          <w:bCs/>
          <w:lang w:val="en-GB"/>
        </w:rPr>
        <w:t>14</w:t>
      </w:r>
      <w:r w:rsidRPr="00A8237F">
        <w:rPr>
          <w:b/>
          <w:bCs/>
          <w:vertAlign w:val="superscript"/>
          <w:lang w:val="en-GB"/>
        </w:rPr>
        <w:t>th</w:t>
      </w:r>
      <w:r w:rsidRPr="00A8237F">
        <w:rPr>
          <w:b/>
          <w:bCs/>
          <w:lang w:val="en-GB"/>
        </w:rPr>
        <w:t xml:space="preserve"> -18</w:t>
      </w:r>
      <w:r w:rsidRPr="00A8237F">
        <w:rPr>
          <w:b/>
          <w:bCs/>
          <w:vertAlign w:val="superscript"/>
          <w:lang w:val="en-GB"/>
        </w:rPr>
        <w:t>th</w:t>
      </w:r>
      <w:r w:rsidRPr="00A8237F">
        <w:rPr>
          <w:b/>
          <w:bCs/>
          <w:lang w:val="en-GB"/>
        </w:rPr>
        <w:t xml:space="preserve"> October 2019</w:t>
      </w:r>
    </w:p>
    <w:p w14:paraId="4A967AE1" w14:textId="77777777" w:rsidR="00A8237F" w:rsidRDefault="00A8237F" w:rsidP="000638BA">
      <w:pPr>
        <w:rPr>
          <w:rFonts w:asciiTheme="majorHAnsi" w:hAnsiTheme="majorHAnsi" w:cstheme="majorHAnsi"/>
          <w:color w:val="1F4E79" w:themeColor="accent1" w:themeShade="80"/>
          <w:lang w:val="en-GB"/>
        </w:rPr>
      </w:pPr>
    </w:p>
    <w:p w14:paraId="5996117B" w14:textId="0ADD5427" w:rsidR="000638BA" w:rsidRPr="00A8237F" w:rsidRDefault="009F4A06" w:rsidP="000638BA">
      <w:pPr>
        <w:rPr>
          <w:rFonts w:asciiTheme="majorHAnsi" w:hAnsiTheme="majorHAnsi" w:cstheme="majorHAnsi"/>
          <w:color w:val="1F4E79" w:themeColor="accent1" w:themeShade="80"/>
        </w:rPr>
      </w:pPr>
      <w:r>
        <w:rPr>
          <w:rFonts w:asciiTheme="majorHAnsi" w:hAnsiTheme="majorHAnsi" w:cstheme="majorHAnsi"/>
          <w:b/>
          <w:bCs/>
          <w:color w:val="1F4E79" w:themeColor="accent1" w:themeShade="80"/>
          <w:lang w:val="en-GB"/>
        </w:rPr>
        <w:t>Sub-committee</w:t>
      </w:r>
      <w:r w:rsidR="000638BA" w:rsidRPr="00A8237F">
        <w:rPr>
          <w:rFonts w:asciiTheme="majorHAnsi" w:hAnsiTheme="majorHAnsi" w:cstheme="majorHAnsi"/>
          <w:b/>
          <w:bCs/>
          <w:color w:val="1F4E79" w:themeColor="accent1" w:themeShade="80"/>
          <w:lang w:val="en-GB"/>
        </w:rPr>
        <w:t xml:space="preserve"> Members</w:t>
      </w:r>
      <w:r w:rsidR="000638BA" w:rsidRPr="00A8237F">
        <w:rPr>
          <w:rFonts w:asciiTheme="majorHAnsi" w:hAnsiTheme="majorHAnsi" w:cstheme="majorHAnsi"/>
          <w:color w:val="1F4E79" w:themeColor="accent1" w:themeShade="80"/>
          <w:lang w:val="en-GB"/>
        </w:rPr>
        <w:t xml:space="preserve"> - </w:t>
      </w:r>
      <w:r w:rsidR="000638BA" w:rsidRPr="00A8237F">
        <w:rPr>
          <w:rFonts w:asciiTheme="majorHAnsi" w:hAnsiTheme="majorHAnsi" w:cstheme="majorHAnsi"/>
          <w:color w:val="1F4E79" w:themeColor="accent1" w:themeShade="80"/>
        </w:rPr>
        <w:t xml:space="preserve">Xavier </w:t>
      </w:r>
      <w:proofErr w:type="spellStart"/>
      <w:r w:rsidR="000638BA" w:rsidRPr="00A8237F">
        <w:rPr>
          <w:rFonts w:asciiTheme="majorHAnsi" w:hAnsiTheme="majorHAnsi" w:cstheme="majorHAnsi"/>
          <w:color w:val="1F4E79" w:themeColor="accent1" w:themeShade="80"/>
        </w:rPr>
        <w:t>Hernoe</w:t>
      </w:r>
      <w:proofErr w:type="spellEnd"/>
      <w:r w:rsidR="000638BA" w:rsidRPr="00A8237F">
        <w:rPr>
          <w:rFonts w:asciiTheme="majorHAnsi" w:hAnsiTheme="majorHAnsi" w:cstheme="majorHAnsi"/>
          <w:color w:val="1F4E79" w:themeColor="accent1" w:themeShade="80"/>
        </w:rPr>
        <w:t>, Artur Dias Marques, Thomas Porathe, Sarah Robinson</w:t>
      </w:r>
    </w:p>
    <w:p w14:paraId="75AFFDDB" w14:textId="36179D81" w:rsidR="000638BA" w:rsidRPr="000638BA" w:rsidRDefault="00A8237F" w:rsidP="000638BA">
      <w:pPr>
        <w:pStyle w:val="Heading1"/>
        <w:rPr>
          <w:rFonts w:eastAsia="Times New Roman"/>
          <w:sz w:val="22"/>
          <w:szCs w:val="22"/>
        </w:rPr>
      </w:pPr>
      <w:r>
        <w:rPr>
          <w:rFonts w:eastAsia="Times New Roman"/>
          <w:sz w:val="22"/>
          <w:szCs w:val="22"/>
        </w:rPr>
        <w:t>We e</w:t>
      </w:r>
      <w:r w:rsidR="000638BA" w:rsidRPr="000638BA">
        <w:rPr>
          <w:rFonts w:eastAsia="Times New Roman"/>
          <w:sz w:val="22"/>
          <w:szCs w:val="22"/>
        </w:rPr>
        <w:t>xamine</w:t>
      </w:r>
      <w:r w:rsidR="000638BA">
        <w:rPr>
          <w:rFonts w:eastAsia="Times New Roman"/>
          <w:sz w:val="22"/>
          <w:szCs w:val="22"/>
        </w:rPr>
        <w:t>d</w:t>
      </w:r>
      <w:r w:rsidR="000638BA" w:rsidRPr="000638BA">
        <w:rPr>
          <w:rFonts w:eastAsia="Times New Roman"/>
          <w:sz w:val="22"/>
          <w:szCs w:val="22"/>
        </w:rPr>
        <w:t xml:space="preserve"> the existing </w:t>
      </w:r>
      <w:r w:rsidR="005344AF">
        <w:rPr>
          <w:rFonts w:eastAsia="Times New Roman"/>
          <w:sz w:val="22"/>
          <w:szCs w:val="22"/>
        </w:rPr>
        <w:t xml:space="preserve">IALA </w:t>
      </w:r>
      <w:r w:rsidR="000638BA" w:rsidRPr="000638BA">
        <w:rPr>
          <w:rFonts w:eastAsia="Times New Roman"/>
          <w:sz w:val="22"/>
          <w:szCs w:val="22"/>
        </w:rPr>
        <w:t xml:space="preserve">PAWSA </w:t>
      </w:r>
      <w:r w:rsidR="005344AF">
        <w:rPr>
          <w:rFonts w:eastAsia="Times New Roman"/>
          <w:sz w:val="22"/>
          <w:szCs w:val="22"/>
        </w:rPr>
        <w:t>Guidelin</w:t>
      </w:r>
      <w:r w:rsidR="001927A7">
        <w:rPr>
          <w:rFonts w:eastAsia="Times New Roman"/>
          <w:sz w:val="22"/>
          <w:szCs w:val="22"/>
        </w:rPr>
        <w:t xml:space="preserve">e </w:t>
      </w:r>
      <w:r w:rsidR="000638BA" w:rsidRPr="000638BA">
        <w:rPr>
          <w:rFonts w:eastAsia="Times New Roman"/>
          <w:sz w:val="22"/>
          <w:szCs w:val="22"/>
        </w:rPr>
        <w:t xml:space="preserve">document G1124 and </w:t>
      </w:r>
      <w:r w:rsidR="008D2A31">
        <w:rPr>
          <w:rFonts w:eastAsia="Times New Roman"/>
          <w:sz w:val="22"/>
          <w:szCs w:val="22"/>
        </w:rPr>
        <w:t>concluded</w:t>
      </w:r>
      <w:r w:rsidR="000638BA" w:rsidRPr="000638BA">
        <w:rPr>
          <w:rFonts w:eastAsia="Times New Roman"/>
          <w:sz w:val="22"/>
          <w:szCs w:val="22"/>
        </w:rPr>
        <w:t xml:space="preserve"> that the existing Guideline combines guidance and the PAWSA tool user manual/implementation guide and is </w:t>
      </w:r>
      <w:r w:rsidR="008D2A31">
        <w:rPr>
          <w:rFonts w:eastAsia="Times New Roman"/>
          <w:sz w:val="22"/>
          <w:szCs w:val="22"/>
        </w:rPr>
        <w:t xml:space="preserve">too large a document for a Guideline.  We </w:t>
      </w:r>
      <w:r w:rsidR="000638BA" w:rsidRPr="000638BA">
        <w:rPr>
          <w:rFonts w:eastAsia="Times New Roman"/>
          <w:sz w:val="22"/>
          <w:szCs w:val="22"/>
        </w:rPr>
        <w:t>suggest</w:t>
      </w:r>
      <w:r w:rsidR="002C03BF">
        <w:rPr>
          <w:rFonts w:eastAsia="Times New Roman"/>
          <w:sz w:val="22"/>
          <w:szCs w:val="22"/>
        </w:rPr>
        <w:t>ed</w:t>
      </w:r>
      <w:r w:rsidR="000638BA" w:rsidRPr="000638BA">
        <w:rPr>
          <w:rFonts w:eastAsia="Times New Roman"/>
          <w:sz w:val="22"/>
          <w:szCs w:val="22"/>
        </w:rPr>
        <w:t xml:space="preserve"> separation and rationalization of </w:t>
      </w:r>
      <w:r w:rsidR="008207DF">
        <w:rPr>
          <w:rFonts w:eastAsia="Times New Roman"/>
          <w:sz w:val="22"/>
          <w:szCs w:val="22"/>
        </w:rPr>
        <w:t>G112</w:t>
      </w:r>
      <w:r w:rsidR="006373B2">
        <w:rPr>
          <w:rFonts w:eastAsia="Times New Roman"/>
          <w:sz w:val="22"/>
          <w:szCs w:val="22"/>
        </w:rPr>
        <w:t xml:space="preserve">4 into a </w:t>
      </w:r>
      <w:r w:rsidR="000638BA">
        <w:rPr>
          <w:rFonts w:eastAsia="Times New Roman"/>
          <w:sz w:val="22"/>
          <w:szCs w:val="22"/>
        </w:rPr>
        <w:t>Guideline document a</w:t>
      </w:r>
      <w:r w:rsidR="000638BA" w:rsidRPr="000638BA">
        <w:rPr>
          <w:rFonts w:eastAsia="Times New Roman"/>
          <w:sz w:val="22"/>
          <w:szCs w:val="22"/>
        </w:rPr>
        <w:t xml:space="preserve">nd </w:t>
      </w:r>
      <w:r w:rsidR="006373B2">
        <w:rPr>
          <w:rFonts w:eastAsia="Times New Roman"/>
          <w:sz w:val="22"/>
          <w:szCs w:val="22"/>
        </w:rPr>
        <w:t xml:space="preserve">a separate </w:t>
      </w:r>
      <w:r w:rsidR="000638BA" w:rsidRPr="000638BA">
        <w:rPr>
          <w:rFonts w:eastAsia="Times New Roman"/>
          <w:sz w:val="22"/>
          <w:szCs w:val="22"/>
        </w:rPr>
        <w:t>“</w:t>
      </w:r>
      <w:r w:rsidR="006373B2">
        <w:rPr>
          <w:rFonts w:eastAsia="Times New Roman"/>
          <w:sz w:val="22"/>
          <w:szCs w:val="22"/>
        </w:rPr>
        <w:t>H</w:t>
      </w:r>
      <w:r w:rsidR="000638BA" w:rsidRPr="000638BA">
        <w:rPr>
          <w:rFonts w:eastAsia="Times New Roman"/>
          <w:sz w:val="22"/>
          <w:szCs w:val="22"/>
        </w:rPr>
        <w:t xml:space="preserve">ow to </w:t>
      </w:r>
      <w:r w:rsidR="006373B2">
        <w:rPr>
          <w:rFonts w:eastAsia="Times New Roman"/>
          <w:sz w:val="22"/>
          <w:szCs w:val="22"/>
        </w:rPr>
        <w:t>U</w:t>
      </w:r>
      <w:r w:rsidR="000638BA" w:rsidRPr="000638BA">
        <w:rPr>
          <w:rFonts w:eastAsia="Times New Roman"/>
          <w:sz w:val="22"/>
          <w:szCs w:val="22"/>
        </w:rPr>
        <w:t xml:space="preserve">se” </w:t>
      </w:r>
      <w:r w:rsidR="000638BA">
        <w:rPr>
          <w:rFonts w:eastAsia="Times New Roman"/>
          <w:sz w:val="22"/>
          <w:szCs w:val="22"/>
        </w:rPr>
        <w:t>manual</w:t>
      </w:r>
      <w:r w:rsidR="00F80CD5">
        <w:rPr>
          <w:rFonts w:eastAsia="Times New Roman"/>
          <w:sz w:val="22"/>
          <w:szCs w:val="22"/>
        </w:rPr>
        <w:t xml:space="preserve">. </w:t>
      </w:r>
      <w:r w:rsidR="004A6557">
        <w:rPr>
          <w:rFonts w:eastAsia="Times New Roman"/>
          <w:sz w:val="22"/>
          <w:szCs w:val="22"/>
        </w:rPr>
        <w:t xml:space="preserve">This proposal appears acceptable to the </w:t>
      </w:r>
      <w:r w:rsidR="005D5260">
        <w:rPr>
          <w:rFonts w:eastAsia="Times New Roman"/>
          <w:sz w:val="22"/>
          <w:szCs w:val="22"/>
        </w:rPr>
        <w:t xml:space="preserve">IALA </w:t>
      </w:r>
      <w:r w:rsidR="00E44CD1">
        <w:rPr>
          <w:rFonts w:eastAsia="Times New Roman"/>
          <w:sz w:val="22"/>
          <w:szCs w:val="22"/>
        </w:rPr>
        <w:t>Secretariat and World Wide Academy.</w:t>
      </w:r>
    </w:p>
    <w:p w14:paraId="7BAAA926" w14:textId="1BAD6970" w:rsidR="000638BA" w:rsidRPr="000638BA" w:rsidRDefault="000638BA" w:rsidP="000638BA">
      <w:pPr>
        <w:pStyle w:val="Heading1"/>
        <w:rPr>
          <w:rFonts w:eastAsia="Times New Roman"/>
          <w:sz w:val="22"/>
          <w:szCs w:val="22"/>
        </w:rPr>
      </w:pPr>
      <w:r w:rsidRPr="000638BA">
        <w:rPr>
          <w:rFonts w:eastAsia="Times New Roman"/>
          <w:sz w:val="22"/>
          <w:szCs w:val="22"/>
        </w:rPr>
        <w:t xml:space="preserve">We </w:t>
      </w:r>
      <w:r>
        <w:rPr>
          <w:rFonts w:eastAsia="Times New Roman"/>
          <w:sz w:val="22"/>
          <w:szCs w:val="22"/>
        </w:rPr>
        <w:t>took</w:t>
      </w:r>
      <w:r w:rsidRPr="000638BA">
        <w:rPr>
          <w:rFonts w:eastAsia="Times New Roman"/>
          <w:sz w:val="22"/>
          <w:szCs w:val="22"/>
        </w:rPr>
        <w:t xml:space="preserve"> the opinion that </w:t>
      </w:r>
      <w:proofErr w:type="spellStart"/>
      <w:r w:rsidRPr="000638BA">
        <w:rPr>
          <w:rFonts w:eastAsia="Times New Roman"/>
          <w:sz w:val="22"/>
          <w:szCs w:val="22"/>
        </w:rPr>
        <w:t>Annexe</w:t>
      </w:r>
      <w:proofErr w:type="spellEnd"/>
      <w:r w:rsidRPr="000638BA">
        <w:rPr>
          <w:rFonts w:eastAsia="Times New Roman"/>
          <w:sz w:val="22"/>
          <w:szCs w:val="22"/>
        </w:rPr>
        <w:t xml:space="preserve"> A Chapter 2 “Methodology” is where the user manual information should start</w:t>
      </w:r>
      <w:r w:rsidR="00E221CD">
        <w:rPr>
          <w:rFonts w:eastAsia="Times New Roman"/>
          <w:sz w:val="22"/>
          <w:szCs w:val="22"/>
        </w:rPr>
        <w:t>.</w:t>
      </w:r>
      <w:r w:rsidR="00336E25">
        <w:rPr>
          <w:rFonts w:eastAsia="Times New Roman"/>
          <w:sz w:val="22"/>
          <w:szCs w:val="22"/>
        </w:rPr>
        <w:t xml:space="preserve">  We did not review the existing documentation </w:t>
      </w:r>
      <w:r w:rsidR="004A6F3E">
        <w:rPr>
          <w:rFonts w:eastAsia="Times New Roman"/>
          <w:sz w:val="22"/>
          <w:szCs w:val="22"/>
        </w:rPr>
        <w:t xml:space="preserve">G1124 any further than the end of </w:t>
      </w:r>
      <w:proofErr w:type="spellStart"/>
      <w:r w:rsidR="004A6F3E">
        <w:rPr>
          <w:rFonts w:eastAsia="Times New Roman"/>
          <w:sz w:val="22"/>
          <w:szCs w:val="22"/>
        </w:rPr>
        <w:t>Annexe</w:t>
      </w:r>
      <w:proofErr w:type="spellEnd"/>
      <w:r w:rsidR="004A6F3E">
        <w:rPr>
          <w:rFonts w:eastAsia="Times New Roman"/>
          <w:sz w:val="22"/>
          <w:szCs w:val="22"/>
        </w:rPr>
        <w:t xml:space="preserve"> A</w:t>
      </w:r>
      <w:r w:rsidR="00B85CA5">
        <w:rPr>
          <w:rFonts w:eastAsia="Times New Roman"/>
          <w:sz w:val="22"/>
          <w:szCs w:val="22"/>
        </w:rPr>
        <w:t xml:space="preserve">, Chapter 1 and it can be seen from the track changes that </w:t>
      </w:r>
      <w:r w:rsidR="007F620E">
        <w:rPr>
          <w:rFonts w:eastAsia="Times New Roman"/>
          <w:sz w:val="22"/>
          <w:szCs w:val="22"/>
        </w:rPr>
        <w:t xml:space="preserve">the “User Manual” section was removed from the </w:t>
      </w:r>
      <w:r w:rsidR="00F13EC3">
        <w:rPr>
          <w:rFonts w:eastAsia="Times New Roman"/>
          <w:sz w:val="22"/>
          <w:szCs w:val="22"/>
        </w:rPr>
        <w:t xml:space="preserve">working GII24 </w:t>
      </w:r>
      <w:r w:rsidR="007F620E">
        <w:rPr>
          <w:rFonts w:eastAsia="Times New Roman"/>
          <w:sz w:val="22"/>
          <w:szCs w:val="22"/>
        </w:rPr>
        <w:t>G</w:t>
      </w:r>
      <w:r w:rsidR="00F13EC3">
        <w:rPr>
          <w:rFonts w:eastAsia="Times New Roman"/>
          <w:sz w:val="22"/>
          <w:szCs w:val="22"/>
        </w:rPr>
        <w:t>uideline document.</w:t>
      </w:r>
    </w:p>
    <w:p w14:paraId="5D281AE7" w14:textId="7996BCDD" w:rsidR="000638BA" w:rsidRPr="000638BA" w:rsidRDefault="000638BA" w:rsidP="000638BA">
      <w:pPr>
        <w:pStyle w:val="Heading1"/>
        <w:rPr>
          <w:rFonts w:eastAsia="Times New Roman"/>
          <w:sz w:val="22"/>
          <w:szCs w:val="22"/>
        </w:rPr>
      </w:pPr>
      <w:r w:rsidRPr="000638BA">
        <w:rPr>
          <w:rFonts w:eastAsia="Times New Roman"/>
          <w:sz w:val="22"/>
          <w:szCs w:val="22"/>
        </w:rPr>
        <w:t>We referenced the following sources to review the content of G1124:</w:t>
      </w:r>
    </w:p>
    <w:p w14:paraId="669CF2BF" w14:textId="77777777" w:rsidR="000638BA" w:rsidRPr="000638BA" w:rsidRDefault="000638BA" w:rsidP="000638BA">
      <w:pPr>
        <w:pStyle w:val="Heading1"/>
        <w:numPr>
          <w:ilvl w:val="0"/>
          <w:numId w:val="29"/>
        </w:numPr>
        <w:rPr>
          <w:rFonts w:eastAsia="Times New Roman"/>
          <w:sz w:val="22"/>
          <w:szCs w:val="22"/>
        </w:rPr>
      </w:pPr>
      <w:r w:rsidRPr="000638BA">
        <w:rPr>
          <w:rFonts w:eastAsia="Times New Roman"/>
          <w:sz w:val="22"/>
          <w:szCs w:val="22"/>
        </w:rPr>
        <w:t>Existing text from G1124 sections 1 to 7</w:t>
      </w:r>
    </w:p>
    <w:p w14:paraId="2E1979A1" w14:textId="77777777" w:rsidR="000638BA" w:rsidRPr="000638BA" w:rsidRDefault="000638BA" w:rsidP="000638BA">
      <w:pPr>
        <w:pStyle w:val="Heading1"/>
        <w:numPr>
          <w:ilvl w:val="0"/>
          <w:numId w:val="29"/>
        </w:numPr>
        <w:rPr>
          <w:rFonts w:eastAsia="Times New Roman"/>
          <w:sz w:val="22"/>
          <w:szCs w:val="22"/>
        </w:rPr>
      </w:pPr>
      <w:r w:rsidRPr="000638BA">
        <w:rPr>
          <w:rFonts w:eastAsia="Times New Roman"/>
          <w:sz w:val="22"/>
          <w:szCs w:val="22"/>
        </w:rPr>
        <w:t xml:space="preserve">Existing text from G1124 </w:t>
      </w:r>
      <w:proofErr w:type="spellStart"/>
      <w:r w:rsidRPr="000638BA">
        <w:rPr>
          <w:rFonts w:eastAsia="Times New Roman"/>
          <w:sz w:val="22"/>
          <w:szCs w:val="22"/>
        </w:rPr>
        <w:t>Annexe</w:t>
      </w:r>
      <w:proofErr w:type="spellEnd"/>
      <w:r w:rsidRPr="000638BA">
        <w:rPr>
          <w:rFonts w:eastAsia="Times New Roman"/>
          <w:sz w:val="22"/>
          <w:szCs w:val="22"/>
        </w:rPr>
        <w:t xml:space="preserve"> A Chapter 1 “Introduction to PAWSA” </w:t>
      </w:r>
    </w:p>
    <w:p w14:paraId="225BF313" w14:textId="77777777" w:rsidR="000638BA" w:rsidRPr="000638BA" w:rsidRDefault="000638BA" w:rsidP="000638BA">
      <w:pPr>
        <w:pStyle w:val="Heading1"/>
        <w:numPr>
          <w:ilvl w:val="0"/>
          <w:numId w:val="29"/>
        </w:numPr>
        <w:rPr>
          <w:rFonts w:eastAsia="Times New Roman"/>
          <w:sz w:val="22"/>
          <w:szCs w:val="22"/>
        </w:rPr>
      </w:pPr>
      <w:r w:rsidRPr="000638BA">
        <w:rPr>
          <w:rFonts w:eastAsia="Times New Roman"/>
          <w:sz w:val="22"/>
          <w:szCs w:val="22"/>
        </w:rPr>
        <w:t>Pages 45 to 47 of the “</w:t>
      </w:r>
      <w:proofErr w:type="spellStart"/>
      <w:r w:rsidRPr="000638BA">
        <w:rPr>
          <w:rFonts w:eastAsia="Times New Roman"/>
          <w:sz w:val="22"/>
          <w:szCs w:val="22"/>
        </w:rPr>
        <w:t>OpenRisk</w:t>
      </w:r>
      <w:proofErr w:type="spellEnd"/>
      <w:r w:rsidRPr="000638BA">
        <w:rPr>
          <w:rFonts w:eastAsia="Times New Roman"/>
          <w:sz w:val="22"/>
          <w:szCs w:val="22"/>
        </w:rPr>
        <w:t xml:space="preserve"> Guideline for Regional Risk Management to Improve European Pollution Preparedness and Response at Sea, 3.6 Ports and Waterways Safety Assessment”</w:t>
      </w:r>
    </w:p>
    <w:p w14:paraId="3BEC2A01" w14:textId="77BAB77A" w:rsidR="000638BA" w:rsidRDefault="000638BA" w:rsidP="000638BA">
      <w:pPr>
        <w:pStyle w:val="Heading1"/>
        <w:rPr>
          <w:rFonts w:eastAsia="Times New Roman"/>
          <w:sz w:val="22"/>
          <w:szCs w:val="22"/>
        </w:rPr>
      </w:pPr>
      <w:r>
        <w:rPr>
          <w:rFonts w:eastAsia="Times New Roman"/>
          <w:sz w:val="22"/>
          <w:szCs w:val="22"/>
        </w:rPr>
        <w:t xml:space="preserve">The working document </w:t>
      </w:r>
      <w:r w:rsidR="00AD7AF9">
        <w:rPr>
          <w:rFonts w:eastAsia="Times New Roman"/>
          <w:sz w:val="22"/>
          <w:szCs w:val="22"/>
        </w:rPr>
        <w:t xml:space="preserve">has </w:t>
      </w:r>
      <w:r>
        <w:rPr>
          <w:rFonts w:eastAsia="Times New Roman"/>
          <w:sz w:val="22"/>
          <w:szCs w:val="22"/>
        </w:rPr>
        <w:t>be</w:t>
      </w:r>
      <w:r w:rsidR="00AD7AF9">
        <w:rPr>
          <w:rFonts w:eastAsia="Times New Roman"/>
          <w:sz w:val="22"/>
          <w:szCs w:val="22"/>
        </w:rPr>
        <w:t>en</w:t>
      </w:r>
      <w:r>
        <w:rPr>
          <w:rFonts w:eastAsia="Times New Roman"/>
          <w:sz w:val="22"/>
          <w:szCs w:val="22"/>
        </w:rPr>
        <w:t xml:space="preserve"> left with Mark Up (i.e. Changes not accepted) for review at ARM 11.  The text is </w:t>
      </w:r>
      <w:proofErr w:type="spellStart"/>
      <w:r>
        <w:rPr>
          <w:rFonts w:eastAsia="Times New Roman"/>
          <w:sz w:val="22"/>
          <w:szCs w:val="22"/>
        </w:rPr>
        <w:t>coloured</w:t>
      </w:r>
      <w:proofErr w:type="spellEnd"/>
      <w:r>
        <w:rPr>
          <w:rFonts w:eastAsia="Times New Roman"/>
          <w:sz w:val="22"/>
          <w:szCs w:val="22"/>
        </w:rPr>
        <w:t xml:space="preserve"> as follows to provide a </w:t>
      </w:r>
      <w:r w:rsidR="00A8237F">
        <w:rPr>
          <w:rFonts w:eastAsia="Times New Roman"/>
          <w:sz w:val="22"/>
          <w:szCs w:val="22"/>
        </w:rPr>
        <w:t>history</w:t>
      </w:r>
      <w:r>
        <w:rPr>
          <w:rFonts w:eastAsia="Times New Roman"/>
          <w:sz w:val="22"/>
          <w:szCs w:val="22"/>
        </w:rPr>
        <w:t xml:space="preserve"> of the source document:</w:t>
      </w:r>
    </w:p>
    <w:p w14:paraId="18624BE7" w14:textId="602ED99A" w:rsidR="000638BA" w:rsidRPr="00A8237F" w:rsidRDefault="000638BA" w:rsidP="00A8237F">
      <w:pPr>
        <w:pStyle w:val="ListParagraph"/>
        <w:numPr>
          <w:ilvl w:val="0"/>
          <w:numId w:val="30"/>
        </w:numPr>
        <w:spacing w:before="120"/>
        <w:ind w:left="1077" w:hanging="357"/>
        <w:rPr>
          <w:rFonts w:asciiTheme="majorHAnsi" w:hAnsiTheme="majorHAnsi" w:cstheme="majorHAnsi"/>
          <w:color w:val="1F4E79" w:themeColor="accent1" w:themeShade="80"/>
        </w:rPr>
      </w:pPr>
      <w:r w:rsidRPr="00A8237F">
        <w:rPr>
          <w:rFonts w:asciiTheme="majorHAnsi" w:hAnsiTheme="majorHAnsi" w:cstheme="majorHAnsi"/>
          <w:color w:val="1F4E79" w:themeColor="accent1" w:themeShade="80"/>
        </w:rPr>
        <w:t xml:space="preserve">Blue </w:t>
      </w:r>
      <w:r w:rsidR="00A8237F" w:rsidRPr="00A8237F">
        <w:rPr>
          <w:rFonts w:asciiTheme="majorHAnsi" w:hAnsiTheme="majorHAnsi" w:cstheme="majorHAnsi"/>
          <w:color w:val="1F4E79" w:themeColor="accent1" w:themeShade="80"/>
        </w:rPr>
        <w:t>–</w:t>
      </w:r>
      <w:r w:rsidRPr="00A8237F">
        <w:rPr>
          <w:rFonts w:asciiTheme="majorHAnsi" w:hAnsiTheme="majorHAnsi" w:cstheme="majorHAnsi"/>
          <w:color w:val="1F4E79" w:themeColor="accent1" w:themeShade="80"/>
        </w:rPr>
        <w:t xml:space="preserve"> </w:t>
      </w:r>
      <w:r w:rsidR="00A8237F" w:rsidRPr="00A8237F">
        <w:rPr>
          <w:rFonts w:asciiTheme="majorHAnsi" w:hAnsiTheme="majorHAnsi" w:cstheme="majorHAnsi"/>
          <w:color w:val="1F4E79" w:themeColor="accent1" w:themeShade="80"/>
        </w:rPr>
        <w:t>Annexe A, Chapter 1</w:t>
      </w:r>
      <w:bookmarkStart w:id="0" w:name="_GoBack"/>
      <w:bookmarkEnd w:id="0"/>
    </w:p>
    <w:p w14:paraId="005EC436" w14:textId="0CE5A610" w:rsidR="00A8237F" w:rsidRPr="00A8237F" w:rsidRDefault="00A8237F" w:rsidP="000638BA">
      <w:pPr>
        <w:pStyle w:val="ListParagraph"/>
        <w:numPr>
          <w:ilvl w:val="0"/>
          <w:numId w:val="30"/>
        </w:numPr>
        <w:rPr>
          <w:rFonts w:asciiTheme="majorHAnsi" w:hAnsiTheme="majorHAnsi" w:cstheme="majorHAnsi"/>
          <w:color w:val="1F4E79" w:themeColor="accent1" w:themeShade="80"/>
        </w:rPr>
      </w:pPr>
      <w:r w:rsidRPr="00A8237F">
        <w:rPr>
          <w:rFonts w:asciiTheme="majorHAnsi" w:hAnsiTheme="majorHAnsi" w:cstheme="majorHAnsi"/>
          <w:color w:val="1F4E79" w:themeColor="accent1" w:themeShade="80"/>
        </w:rPr>
        <w:t xml:space="preserve">Yellow – </w:t>
      </w:r>
      <w:proofErr w:type="spellStart"/>
      <w:r w:rsidRPr="00A8237F">
        <w:rPr>
          <w:rFonts w:asciiTheme="majorHAnsi" w:hAnsiTheme="majorHAnsi" w:cstheme="majorHAnsi"/>
          <w:color w:val="1F4E79" w:themeColor="accent1" w:themeShade="80"/>
        </w:rPr>
        <w:t>OpenRisk</w:t>
      </w:r>
      <w:proofErr w:type="spellEnd"/>
      <w:r w:rsidRPr="00A8237F">
        <w:rPr>
          <w:rFonts w:asciiTheme="majorHAnsi" w:hAnsiTheme="majorHAnsi" w:cstheme="majorHAnsi"/>
          <w:color w:val="1F4E79" w:themeColor="accent1" w:themeShade="80"/>
        </w:rPr>
        <w:t xml:space="preserve"> Guideline</w:t>
      </w:r>
    </w:p>
    <w:p w14:paraId="6120772C" w14:textId="38F3D419" w:rsidR="00A8237F" w:rsidRPr="00A8237F" w:rsidRDefault="00A8237F" w:rsidP="000638BA">
      <w:pPr>
        <w:pStyle w:val="ListParagraph"/>
        <w:numPr>
          <w:ilvl w:val="0"/>
          <w:numId w:val="30"/>
        </w:numPr>
        <w:rPr>
          <w:rFonts w:asciiTheme="majorHAnsi" w:hAnsiTheme="majorHAnsi" w:cstheme="majorHAnsi"/>
          <w:color w:val="1F4E79" w:themeColor="accent1" w:themeShade="80"/>
        </w:rPr>
      </w:pPr>
      <w:r w:rsidRPr="00A8237F">
        <w:rPr>
          <w:rFonts w:asciiTheme="majorHAnsi" w:hAnsiTheme="majorHAnsi" w:cstheme="majorHAnsi"/>
          <w:color w:val="1F4E79" w:themeColor="accent1" w:themeShade="80"/>
        </w:rPr>
        <w:t>No highlight – either original G1124 document or group amended text</w:t>
      </w:r>
    </w:p>
    <w:p w14:paraId="4DFEF9C2" w14:textId="5D6577A9" w:rsidR="00A8237F" w:rsidRDefault="00A8237F" w:rsidP="000638BA">
      <w:pPr>
        <w:pStyle w:val="Heading1"/>
        <w:rPr>
          <w:rFonts w:eastAsia="Times New Roman"/>
          <w:sz w:val="22"/>
          <w:szCs w:val="22"/>
        </w:rPr>
      </w:pPr>
      <w:r>
        <w:rPr>
          <w:rFonts w:eastAsia="Times New Roman"/>
          <w:sz w:val="22"/>
          <w:szCs w:val="22"/>
        </w:rPr>
        <w:t xml:space="preserve">Some particular recommendations </w:t>
      </w:r>
      <w:r w:rsidR="004A4630">
        <w:rPr>
          <w:rFonts w:eastAsia="Times New Roman"/>
          <w:sz w:val="22"/>
          <w:szCs w:val="22"/>
        </w:rPr>
        <w:t>a</w:t>
      </w:r>
      <w:r>
        <w:rPr>
          <w:rFonts w:eastAsia="Times New Roman"/>
          <w:sz w:val="22"/>
          <w:szCs w:val="22"/>
        </w:rPr>
        <w:t>nd conclusions from our group work are as follows:</w:t>
      </w:r>
    </w:p>
    <w:p w14:paraId="26B0F617" w14:textId="66B2A488" w:rsidR="00BC4921" w:rsidRDefault="000638BA" w:rsidP="00BC4921">
      <w:pPr>
        <w:pStyle w:val="Heading1"/>
        <w:numPr>
          <w:ilvl w:val="0"/>
          <w:numId w:val="31"/>
        </w:numPr>
        <w:rPr>
          <w:rFonts w:eastAsia="Times New Roman"/>
          <w:sz w:val="22"/>
          <w:szCs w:val="22"/>
        </w:rPr>
      </w:pPr>
      <w:r w:rsidRPr="000638BA">
        <w:rPr>
          <w:rFonts w:eastAsia="Times New Roman"/>
          <w:sz w:val="22"/>
          <w:szCs w:val="22"/>
        </w:rPr>
        <w:t>We observe</w:t>
      </w:r>
      <w:r w:rsidR="00A8237F">
        <w:rPr>
          <w:rFonts w:eastAsia="Times New Roman"/>
          <w:sz w:val="22"/>
          <w:szCs w:val="22"/>
        </w:rPr>
        <w:t>d</w:t>
      </w:r>
      <w:r w:rsidRPr="000638BA">
        <w:rPr>
          <w:rFonts w:eastAsia="Times New Roman"/>
          <w:sz w:val="22"/>
          <w:szCs w:val="22"/>
        </w:rPr>
        <w:t xml:space="preserve"> that it </w:t>
      </w:r>
      <w:r w:rsidR="00A8237F">
        <w:rPr>
          <w:rFonts w:eastAsia="Times New Roman"/>
          <w:sz w:val="22"/>
          <w:szCs w:val="22"/>
        </w:rPr>
        <w:t>is</w:t>
      </w:r>
      <w:r w:rsidRPr="000638BA">
        <w:rPr>
          <w:rFonts w:eastAsia="Times New Roman"/>
          <w:sz w:val="22"/>
          <w:szCs w:val="22"/>
        </w:rPr>
        <w:t xml:space="preserve"> appropriate to have a consistent structure amongst the IALA toolbox “tool” documents (IWRAP, PAWSA, SIRA, Simulation) particularly for</w:t>
      </w:r>
      <w:r w:rsidR="000D4433">
        <w:rPr>
          <w:rFonts w:eastAsia="Times New Roman"/>
          <w:sz w:val="22"/>
          <w:szCs w:val="22"/>
        </w:rPr>
        <w:t xml:space="preserve"> sections related to</w:t>
      </w:r>
      <w:r w:rsidR="00BC4921">
        <w:rPr>
          <w:rFonts w:eastAsia="Times New Roman"/>
          <w:sz w:val="22"/>
          <w:szCs w:val="22"/>
        </w:rPr>
        <w:t>:</w:t>
      </w:r>
    </w:p>
    <w:p w14:paraId="5B41DBBA" w14:textId="77777777" w:rsidR="004C1B0B" w:rsidRPr="00114724" w:rsidRDefault="00194324" w:rsidP="00F13EC3">
      <w:pPr>
        <w:pStyle w:val="ListParagraph"/>
        <w:numPr>
          <w:ilvl w:val="1"/>
          <w:numId w:val="31"/>
        </w:numPr>
        <w:spacing w:before="120" w:after="120"/>
        <w:ind w:left="1434" w:hanging="357"/>
        <w:rPr>
          <w:rFonts w:asciiTheme="majorHAnsi" w:hAnsiTheme="majorHAnsi" w:cstheme="majorHAnsi"/>
          <w:color w:val="1F4E79" w:themeColor="accent1" w:themeShade="80"/>
        </w:rPr>
      </w:pPr>
      <w:r w:rsidRPr="00114724">
        <w:rPr>
          <w:rFonts w:asciiTheme="majorHAnsi" w:hAnsiTheme="majorHAnsi" w:cstheme="majorHAnsi"/>
          <w:color w:val="1F4E79" w:themeColor="accent1" w:themeShade="80"/>
        </w:rPr>
        <w:t>An in</w:t>
      </w:r>
      <w:r w:rsidR="00884231" w:rsidRPr="00114724">
        <w:rPr>
          <w:rFonts w:asciiTheme="majorHAnsi" w:hAnsiTheme="majorHAnsi" w:cstheme="majorHAnsi"/>
          <w:color w:val="1F4E79" w:themeColor="accent1" w:themeShade="80"/>
        </w:rPr>
        <w:t xml:space="preserve">troductory statement that references the specific tool as </w:t>
      </w:r>
      <w:r w:rsidR="004C1B0B" w:rsidRPr="00114724">
        <w:rPr>
          <w:rFonts w:asciiTheme="majorHAnsi" w:hAnsiTheme="majorHAnsi" w:cstheme="majorHAnsi"/>
          <w:color w:val="1F4E79" w:themeColor="accent1" w:themeShade="80"/>
        </w:rPr>
        <w:t>part of the IALA toolbox</w:t>
      </w:r>
    </w:p>
    <w:p w14:paraId="18B4DF83" w14:textId="77777777" w:rsidR="004E1FE0" w:rsidRPr="00114724" w:rsidRDefault="007A3434" w:rsidP="00F13EC3">
      <w:pPr>
        <w:pStyle w:val="ListParagraph"/>
        <w:numPr>
          <w:ilvl w:val="1"/>
          <w:numId w:val="31"/>
        </w:numPr>
        <w:spacing w:before="120" w:after="120"/>
        <w:ind w:left="1434" w:hanging="357"/>
        <w:rPr>
          <w:rFonts w:asciiTheme="majorHAnsi" w:hAnsiTheme="majorHAnsi" w:cstheme="majorHAnsi"/>
          <w:color w:val="1F4E79" w:themeColor="accent1" w:themeShade="80"/>
        </w:rPr>
      </w:pPr>
      <w:r w:rsidRPr="00114724">
        <w:rPr>
          <w:rFonts w:asciiTheme="majorHAnsi" w:hAnsiTheme="majorHAnsi" w:cstheme="majorHAnsi"/>
          <w:color w:val="1F4E79" w:themeColor="accent1" w:themeShade="80"/>
        </w:rPr>
        <w:t xml:space="preserve">An </w:t>
      </w:r>
      <w:proofErr w:type="spellStart"/>
      <w:r w:rsidR="004C1B0B" w:rsidRPr="00114724">
        <w:rPr>
          <w:rFonts w:asciiTheme="majorHAnsi" w:hAnsiTheme="majorHAnsi" w:cstheme="majorHAnsi"/>
          <w:color w:val="1F4E79" w:themeColor="accent1" w:themeShade="80"/>
        </w:rPr>
        <w:t>Input/Output</w:t>
      </w:r>
      <w:proofErr w:type="spellEnd"/>
      <w:r w:rsidR="004C1B0B" w:rsidRPr="00114724">
        <w:rPr>
          <w:rFonts w:asciiTheme="majorHAnsi" w:hAnsiTheme="majorHAnsi" w:cstheme="majorHAnsi"/>
          <w:color w:val="1F4E79" w:themeColor="accent1" w:themeShade="80"/>
        </w:rPr>
        <w:t xml:space="preserve"> section that states what </w:t>
      </w:r>
      <w:r w:rsidR="00515E0E" w:rsidRPr="00114724">
        <w:rPr>
          <w:rFonts w:asciiTheme="majorHAnsi" w:hAnsiTheme="majorHAnsi" w:cstheme="majorHAnsi"/>
          <w:color w:val="1F4E79" w:themeColor="accent1" w:themeShade="80"/>
        </w:rPr>
        <w:t>data (qualit</w:t>
      </w:r>
      <w:r w:rsidR="000638BA" w:rsidRPr="00114724">
        <w:rPr>
          <w:rFonts w:asciiTheme="majorHAnsi" w:hAnsiTheme="majorHAnsi" w:cstheme="majorHAnsi"/>
          <w:color w:val="1F4E79" w:themeColor="accent1" w:themeShade="80"/>
        </w:rPr>
        <w:t>a</w:t>
      </w:r>
      <w:r w:rsidR="00515E0E" w:rsidRPr="00114724">
        <w:rPr>
          <w:rFonts w:asciiTheme="majorHAnsi" w:hAnsiTheme="majorHAnsi" w:cstheme="majorHAnsi"/>
          <w:color w:val="1F4E79" w:themeColor="accent1" w:themeShade="80"/>
        </w:rPr>
        <w:t>tive</w:t>
      </w:r>
      <w:r w:rsidR="000638BA" w:rsidRPr="00114724">
        <w:rPr>
          <w:rFonts w:asciiTheme="majorHAnsi" w:hAnsiTheme="majorHAnsi" w:cstheme="majorHAnsi"/>
          <w:color w:val="1F4E79" w:themeColor="accent1" w:themeShade="80"/>
        </w:rPr>
        <w:t xml:space="preserve"> </w:t>
      </w:r>
      <w:r w:rsidRPr="00114724">
        <w:rPr>
          <w:rFonts w:asciiTheme="majorHAnsi" w:hAnsiTheme="majorHAnsi" w:cstheme="majorHAnsi"/>
          <w:color w:val="1F4E79" w:themeColor="accent1" w:themeShade="80"/>
        </w:rPr>
        <w:t xml:space="preserve">or quantitative) </w:t>
      </w:r>
      <w:r w:rsidR="008619BB" w:rsidRPr="00114724">
        <w:rPr>
          <w:rFonts w:asciiTheme="majorHAnsi" w:hAnsiTheme="majorHAnsi" w:cstheme="majorHAnsi"/>
          <w:color w:val="1F4E79" w:themeColor="accent1" w:themeShade="80"/>
        </w:rPr>
        <w:t>is required and will be obtained</w:t>
      </w:r>
      <w:r w:rsidR="001232D3" w:rsidRPr="00114724">
        <w:rPr>
          <w:rFonts w:asciiTheme="majorHAnsi" w:hAnsiTheme="majorHAnsi" w:cstheme="majorHAnsi"/>
          <w:color w:val="1F4E79" w:themeColor="accent1" w:themeShade="80"/>
        </w:rPr>
        <w:t xml:space="preserve">, assigning importance to the </w:t>
      </w:r>
      <w:r w:rsidR="004E1FE0" w:rsidRPr="00114724">
        <w:rPr>
          <w:rFonts w:asciiTheme="majorHAnsi" w:hAnsiTheme="majorHAnsi" w:cstheme="majorHAnsi"/>
          <w:color w:val="1F4E79" w:themeColor="accent1" w:themeShade="80"/>
        </w:rPr>
        <w:t>data quality</w:t>
      </w:r>
    </w:p>
    <w:p w14:paraId="6D21285C" w14:textId="0C12939F" w:rsidR="000638BA" w:rsidRPr="00114724" w:rsidRDefault="00E673DC" w:rsidP="00F13EC3">
      <w:pPr>
        <w:pStyle w:val="ListParagraph"/>
        <w:numPr>
          <w:ilvl w:val="1"/>
          <w:numId w:val="31"/>
        </w:numPr>
        <w:spacing w:before="120" w:after="120"/>
        <w:ind w:left="1434" w:hanging="357"/>
        <w:rPr>
          <w:rFonts w:asciiTheme="majorHAnsi" w:hAnsiTheme="majorHAnsi" w:cstheme="majorHAnsi"/>
          <w:color w:val="1F4E79" w:themeColor="accent1" w:themeShade="80"/>
        </w:rPr>
      </w:pPr>
      <w:r w:rsidRPr="00114724">
        <w:rPr>
          <w:rFonts w:asciiTheme="majorHAnsi" w:hAnsiTheme="majorHAnsi" w:cstheme="majorHAnsi"/>
          <w:color w:val="1F4E79" w:themeColor="accent1" w:themeShade="80"/>
        </w:rPr>
        <w:t xml:space="preserve">A </w:t>
      </w:r>
      <w:r w:rsidR="000638BA" w:rsidRPr="00114724">
        <w:rPr>
          <w:rFonts w:asciiTheme="majorHAnsi" w:hAnsiTheme="majorHAnsi" w:cstheme="majorHAnsi"/>
          <w:color w:val="1F4E79" w:themeColor="accent1" w:themeShade="80"/>
        </w:rPr>
        <w:t>“When to use this tool” section</w:t>
      </w:r>
      <w:r w:rsidR="00A8237F" w:rsidRPr="00114724">
        <w:rPr>
          <w:rFonts w:asciiTheme="majorHAnsi" w:hAnsiTheme="majorHAnsi" w:cstheme="majorHAnsi"/>
          <w:color w:val="1F4E79" w:themeColor="accent1" w:themeShade="80"/>
        </w:rPr>
        <w:t>, together with</w:t>
      </w:r>
      <w:r w:rsidR="000638BA" w:rsidRPr="00114724">
        <w:rPr>
          <w:rFonts w:asciiTheme="majorHAnsi" w:hAnsiTheme="majorHAnsi" w:cstheme="majorHAnsi"/>
          <w:color w:val="1F4E79" w:themeColor="accent1" w:themeShade="80"/>
        </w:rPr>
        <w:t xml:space="preserve"> a collated matrix in the coordinating guideline document (currently G1018) that could give </w:t>
      </w:r>
      <w:r w:rsidR="00A8237F" w:rsidRPr="00114724">
        <w:rPr>
          <w:rFonts w:asciiTheme="majorHAnsi" w:hAnsiTheme="majorHAnsi" w:cstheme="majorHAnsi"/>
          <w:color w:val="1F4E79" w:themeColor="accent1" w:themeShade="80"/>
        </w:rPr>
        <w:t xml:space="preserve">an </w:t>
      </w:r>
      <w:r w:rsidR="000638BA" w:rsidRPr="00114724">
        <w:rPr>
          <w:rFonts w:asciiTheme="majorHAnsi" w:hAnsiTheme="majorHAnsi" w:cstheme="majorHAnsi"/>
          <w:color w:val="1F4E79" w:themeColor="accent1" w:themeShade="80"/>
        </w:rPr>
        <w:t>indication when one tool may be preferable to another.  We particularly like the infographic used in the Open Risk document for appraisal of each methodology.  This is an easy to understand summary of each risk assessment tool.</w:t>
      </w:r>
    </w:p>
    <w:p w14:paraId="16370621" w14:textId="7A1D778A" w:rsidR="004E1FE0" w:rsidRPr="00114724" w:rsidRDefault="00E673DC" w:rsidP="00F13EC3">
      <w:pPr>
        <w:pStyle w:val="ListParagraph"/>
        <w:numPr>
          <w:ilvl w:val="1"/>
          <w:numId w:val="31"/>
        </w:numPr>
        <w:spacing w:before="120" w:after="120"/>
        <w:ind w:left="1434" w:hanging="357"/>
        <w:rPr>
          <w:rFonts w:asciiTheme="majorHAnsi" w:hAnsiTheme="majorHAnsi" w:cstheme="majorHAnsi"/>
          <w:color w:val="1F4E79" w:themeColor="accent1" w:themeShade="80"/>
        </w:rPr>
      </w:pPr>
      <w:r w:rsidRPr="00114724">
        <w:rPr>
          <w:rFonts w:asciiTheme="majorHAnsi" w:hAnsiTheme="majorHAnsi" w:cstheme="majorHAnsi"/>
          <w:color w:val="1F4E79" w:themeColor="accent1" w:themeShade="80"/>
        </w:rPr>
        <w:lastRenderedPageBreak/>
        <w:t xml:space="preserve">A </w:t>
      </w:r>
      <w:r w:rsidR="00781A4C">
        <w:rPr>
          <w:rFonts w:asciiTheme="majorHAnsi" w:hAnsiTheme="majorHAnsi" w:cstheme="majorHAnsi"/>
          <w:color w:val="1F4E79" w:themeColor="accent1" w:themeShade="80"/>
        </w:rPr>
        <w:t>“</w:t>
      </w:r>
      <w:r w:rsidRPr="00114724">
        <w:rPr>
          <w:rFonts w:asciiTheme="majorHAnsi" w:hAnsiTheme="majorHAnsi" w:cstheme="majorHAnsi"/>
          <w:color w:val="1F4E79" w:themeColor="accent1" w:themeShade="80"/>
        </w:rPr>
        <w:t>Strengths and Limitations</w:t>
      </w:r>
      <w:r w:rsidR="00781A4C">
        <w:rPr>
          <w:rFonts w:asciiTheme="majorHAnsi" w:hAnsiTheme="majorHAnsi" w:cstheme="majorHAnsi"/>
          <w:color w:val="1F4E79" w:themeColor="accent1" w:themeShade="80"/>
        </w:rPr>
        <w:t>”</w:t>
      </w:r>
      <w:r w:rsidRPr="00114724">
        <w:rPr>
          <w:rFonts w:asciiTheme="majorHAnsi" w:hAnsiTheme="majorHAnsi" w:cstheme="majorHAnsi"/>
          <w:color w:val="1F4E79" w:themeColor="accent1" w:themeShade="80"/>
        </w:rPr>
        <w:t xml:space="preserve"> section, again based on the comparative sections of the </w:t>
      </w:r>
      <w:proofErr w:type="spellStart"/>
      <w:r w:rsidRPr="00114724">
        <w:rPr>
          <w:rFonts w:asciiTheme="majorHAnsi" w:hAnsiTheme="majorHAnsi" w:cstheme="majorHAnsi"/>
          <w:color w:val="1F4E79" w:themeColor="accent1" w:themeShade="80"/>
        </w:rPr>
        <w:t>OpenRisk</w:t>
      </w:r>
      <w:proofErr w:type="spellEnd"/>
      <w:r w:rsidRPr="00114724">
        <w:rPr>
          <w:rFonts w:asciiTheme="majorHAnsi" w:hAnsiTheme="majorHAnsi" w:cstheme="majorHAnsi"/>
          <w:color w:val="1F4E79" w:themeColor="accent1" w:themeShade="80"/>
        </w:rPr>
        <w:t xml:space="preserve"> tools</w:t>
      </w:r>
      <w:r w:rsidR="005640DD" w:rsidRPr="00114724">
        <w:rPr>
          <w:rFonts w:asciiTheme="majorHAnsi" w:hAnsiTheme="majorHAnsi" w:cstheme="majorHAnsi"/>
          <w:color w:val="1F4E79" w:themeColor="accent1" w:themeShade="80"/>
        </w:rPr>
        <w:t>.  This should be a more detailed appraisal than that provided in the G1018 overview description.</w:t>
      </w:r>
    </w:p>
    <w:p w14:paraId="68955237" w14:textId="78004486" w:rsidR="005640DD" w:rsidRPr="00114724" w:rsidRDefault="004D376F" w:rsidP="00F13EC3">
      <w:pPr>
        <w:pStyle w:val="ListParagraph"/>
        <w:numPr>
          <w:ilvl w:val="1"/>
          <w:numId w:val="31"/>
        </w:numPr>
        <w:spacing w:before="120" w:after="120"/>
        <w:ind w:left="1434" w:hanging="357"/>
        <w:rPr>
          <w:rFonts w:asciiTheme="majorHAnsi" w:hAnsiTheme="majorHAnsi" w:cstheme="majorHAnsi"/>
          <w:color w:val="1F4E79" w:themeColor="accent1" w:themeShade="80"/>
        </w:rPr>
      </w:pPr>
      <w:r w:rsidRPr="00114724">
        <w:rPr>
          <w:rFonts w:asciiTheme="majorHAnsi" w:hAnsiTheme="majorHAnsi" w:cstheme="majorHAnsi"/>
          <w:color w:val="1F4E79" w:themeColor="accent1" w:themeShade="80"/>
        </w:rPr>
        <w:t>A “what to do now” section with direction to the</w:t>
      </w:r>
      <w:r w:rsidR="00D04178" w:rsidRPr="00114724">
        <w:rPr>
          <w:rFonts w:asciiTheme="majorHAnsi" w:hAnsiTheme="majorHAnsi" w:cstheme="majorHAnsi"/>
          <w:color w:val="1F4E79" w:themeColor="accent1" w:themeShade="80"/>
        </w:rPr>
        <w:t xml:space="preserve"> relevant </w:t>
      </w:r>
      <w:r w:rsidR="00FA2D4D" w:rsidRPr="00114724">
        <w:rPr>
          <w:rFonts w:asciiTheme="majorHAnsi" w:hAnsiTheme="majorHAnsi" w:cstheme="majorHAnsi"/>
          <w:color w:val="1F4E79" w:themeColor="accent1" w:themeShade="80"/>
        </w:rPr>
        <w:t>user manual and to the</w:t>
      </w:r>
      <w:r w:rsidRPr="00114724">
        <w:rPr>
          <w:rFonts w:asciiTheme="majorHAnsi" w:hAnsiTheme="majorHAnsi" w:cstheme="majorHAnsi"/>
          <w:color w:val="1F4E79" w:themeColor="accent1" w:themeShade="80"/>
        </w:rPr>
        <w:t xml:space="preserve"> IALA academy for further </w:t>
      </w:r>
      <w:r w:rsidR="00413879" w:rsidRPr="00114724">
        <w:rPr>
          <w:rFonts w:asciiTheme="majorHAnsi" w:hAnsiTheme="majorHAnsi" w:cstheme="majorHAnsi"/>
          <w:color w:val="1F4E79" w:themeColor="accent1" w:themeShade="80"/>
        </w:rPr>
        <w:t>training</w:t>
      </w:r>
    </w:p>
    <w:p w14:paraId="3D51D0FA" w14:textId="77777777" w:rsidR="00413879" w:rsidRPr="00114724" w:rsidRDefault="00413879" w:rsidP="00413879">
      <w:pPr>
        <w:ind w:left="720"/>
        <w:rPr>
          <w:rFonts w:asciiTheme="majorHAnsi" w:hAnsiTheme="majorHAnsi" w:cstheme="majorHAnsi"/>
          <w:color w:val="1F4E79" w:themeColor="accent1" w:themeShade="80"/>
        </w:rPr>
      </w:pPr>
    </w:p>
    <w:p w14:paraId="15E11C29" w14:textId="5F782949" w:rsidR="00A8237F" w:rsidRPr="00114724" w:rsidRDefault="00A8237F" w:rsidP="00925ED5">
      <w:pPr>
        <w:pStyle w:val="ListParagraph"/>
        <w:numPr>
          <w:ilvl w:val="0"/>
          <w:numId w:val="31"/>
        </w:numPr>
        <w:spacing w:after="120"/>
        <w:ind w:left="714" w:hanging="357"/>
        <w:rPr>
          <w:rFonts w:asciiTheme="majorHAnsi" w:hAnsiTheme="majorHAnsi" w:cstheme="majorHAnsi"/>
          <w:color w:val="1F4E79" w:themeColor="accent1" w:themeShade="80"/>
        </w:rPr>
      </w:pPr>
      <w:r w:rsidRPr="00114724">
        <w:rPr>
          <w:rFonts w:asciiTheme="majorHAnsi" w:hAnsiTheme="majorHAnsi" w:cstheme="majorHAnsi"/>
          <w:color w:val="1F4E79" w:themeColor="accent1" w:themeShade="80"/>
        </w:rPr>
        <w:t>There is a need to employ a consistent term for the PAWSA “User Manual</w:t>
      </w:r>
      <w:r w:rsidR="00FA2D4D" w:rsidRPr="00114724">
        <w:rPr>
          <w:rFonts w:asciiTheme="majorHAnsi" w:hAnsiTheme="majorHAnsi" w:cstheme="majorHAnsi"/>
          <w:color w:val="1F4E79" w:themeColor="accent1" w:themeShade="80"/>
        </w:rPr>
        <w:t xml:space="preserve">”, it is separately </w:t>
      </w:r>
      <w:r w:rsidR="004F0024" w:rsidRPr="00114724">
        <w:rPr>
          <w:rFonts w:asciiTheme="majorHAnsi" w:hAnsiTheme="majorHAnsi" w:cstheme="majorHAnsi"/>
          <w:color w:val="1F4E79" w:themeColor="accent1" w:themeShade="80"/>
        </w:rPr>
        <w:t xml:space="preserve">referred to as </w:t>
      </w:r>
      <w:r w:rsidR="00541E13" w:rsidRPr="00114724">
        <w:rPr>
          <w:rFonts w:asciiTheme="majorHAnsi" w:hAnsiTheme="majorHAnsi" w:cstheme="majorHAnsi"/>
          <w:color w:val="1F4E79" w:themeColor="accent1" w:themeShade="80"/>
        </w:rPr>
        <w:t>the Workshop Guide and the Implementation Guide</w:t>
      </w:r>
      <w:r w:rsidR="00413879" w:rsidRPr="00114724">
        <w:rPr>
          <w:rFonts w:asciiTheme="majorHAnsi" w:hAnsiTheme="majorHAnsi" w:cstheme="majorHAnsi"/>
          <w:color w:val="1F4E79" w:themeColor="accent1" w:themeShade="80"/>
        </w:rPr>
        <w:t>.</w:t>
      </w:r>
    </w:p>
    <w:p w14:paraId="1FD4B654" w14:textId="7748D50B" w:rsidR="00A02692" w:rsidRPr="00114724" w:rsidRDefault="00A02692" w:rsidP="00925ED5">
      <w:pPr>
        <w:pStyle w:val="ListParagraph"/>
        <w:numPr>
          <w:ilvl w:val="0"/>
          <w:numId w:val="31"/>
        </w:numPr>
        <w:spacing w:after="120"/>
        <w:ind w:left="714" w:hanging="357"/>
        <w:rPr>
          <w:rFonts w:asciiTheme="majorHAnsi" w:hAnsiTheme="majorHAnsi" w:cstheme="majorHAnsi"/>
          <w:color w:val="1F4E79" w:themeColor="accent1" w:themeShade="80"/>
        </w:rPr>
      </w:pPr>
      <w:r w:rsidRPr="00114724">
        <w:rPr>
          <w:rFonts w:asciiTheme="majorHAnsi" w:hAnsiTheme="majorHAnsi" w:cstheme="majorHAnsi"/>
          <w:color w:val="1F4E79" w:themeColor="accent1" w:themeShade="80"/>
        </w:rPr>
        <w:t xml:space="preserve">The inclusion of the statement referring the user to the SOLAS regulations (the first </w:t>
      </w:r>
      <w:r w:rsidR="00BE5282" w:rsidRPr="00114724">
        <w:rPr>
          <w:rFonts w:asciiTheme="majorHAnsi" w:hAnsiTheme="majorHAnsi" w:cstheme="majorHAnsi"/>
          <w:color w:val="1F4E79" w:themeColor="accent1" w:themeShade="80"/>
        </w:rPr>
        <w:t xml:space="preserve">paragraph in the </w:t>
      </w:r>
      <w:r w:rsidR="0099121E" w:rsidRPr="00114724">
        <w:rPr>
          <w:rFonts w:asciiTheme="majorHAnsi" w:hAnsiTheme="majorHAnsi" w:cstheme="majorHAnsi"/>
          <w:color w:val="1F4E79" w:themeColor="accent1" w:themeShade="80"/>
        </w:rPr>
        <w:t xml:space="preserve">1 Introduction section of the existing G1124 document) could perhaps be included as a footnote on all </w:t>
      </w:r>
      <w:r w:rsidR="0090265B" w:rsidRPr="00114724">
        <w:rPr>
          <w:rFonts w:asciiTheme="majorHAnsi" w:hAnsiTheme="majorHAnsi" w:cstheme="majorHAnsi"/>
          <w:color w:val="1F4E79" w:themeColor="accent1" w:themeShade="80"/>
        </w:rPr>
        <w:t xml:space="preserve">relevant </w:t>
      </w:r>
      <w:r w:rsidR="0099121E" w:rsidRPr="00114724">
        <w:rPr>
          <w:rFonts w:asciiTheme="majorHAnsi" w:hAnsiTheme="majorHAnsi" w:cstheme="majorHAnsi"/>
          <w:color w:val="1F4E79" w:themeColor="accent1" w:themeShade="80"/>
        </w:rPr>
        <w:t xml:space="preserve">risk </w:t>
      </w:r>
      <w:r w:rsidR="0090265B" w:rsidRPr="00114724">
        <w:rPr>
          <w:rFonts w:asciiTheme="majorHAnsi" w:hAnsiTheme="majorHAnsi" w:cstheme="majorHAnsi"/>
          <w:color w:val="1F4E79" w:themeColor="accent1" w:themeShade="80"/>
        </w:rPr>
        <w:t>a</w:t>
      </w:r>
      <w:r w:rsidR="0099121E" w:rsidRPr="00114724">
        <w:rPr>
          <w:rFonts w:asciiTheme="majorHAnsi" w:hAnsiTheme="majorHAnsi" w:cstheme="majorHAnsi"/>
          <w:color w:val="1F4E79" w:themeColor="accent1" w:themeShade="80"/>
        </w:rPr>
        <w:t>ssessmen</w:t>
      </w:r>
      <w:r w:rsidR="0090265B" w:rsidRPr="00114724">
        <w:rPr>
          <w:rFonts w:asciiTheme="majorHAnsi" w:hAnsiTheme="majorHAnsi" w:cstheme="majorHAnsi"/>
          <w:color w:val="1F4E79" w:themeColor="accent1" w:themeShade="80"/>
        </w:rPr>
        <w:t>t documentation</w:t>
      </w:r>
    </w:p>
    <w:p w14:paraId="4021FCDC" w14:textId="243A4930" w:rsidR="00B60126" w:rsidRDefault="00B60126" w:rsidP="00925ED5">
      <w:pPr>
        <w:pStyle w:val="ListParagraph"/>
        <w:numPr>
          <w:ilvl w:val="0"/>
          <w:numId w:val="31"/>
        </w:numPr>
        <w:spacing w:after="120"/>
        <w:ind w:left="714" w:hanging="357"/>
        <w:rPr>
          <w:rFonts w:asciiTheme="majorHAnsi" w:hAnsiTheme="majorHAnsi" w:cstheme="majorHAnsi"/>
          <w:color w:val="1F4E79" w:themeColor="accent1" w:themeShade="80"/>
        </w:rPr>
      </w:pPr>
      <w:r w:rsidRPr="00114724">
        <w:rPr>
          <w:rFonts w:asciiTheme="majorHAnsi" w:hAnsiTheme="majorHAnsi" w:cstheme="majorHAnsi"/>
          <w:color w:val="1F4E79" w:themeColor="accent1" w:themeShade="80"/>
        </w:rPr>
        <w:t xml:space="preserve">There is a need to refine the Background information to describe the IALA PAWSA MK II as the current version to use without detailed reference to </w:t>
      </w:r>
      <w:r w:rsidR="00C14397" w:rsidRPr="00114724">
        <w:rPr>
          <w:rFonts w:asciiTheme="majorHAnsi" w:hAnsiTheme="majorHAnsi" w:cstheme="majorHAnsi"/>
          <w:color w:val="1F4E79" w:themeColor="accent1" w:themeShade="80"/>
        </w:rPr>
        <w:t>the iterations of its development</w:t>
      </w:r>
      <w:r w:rsidR="0013542E" w:rsidRPr="00114724">
        <w:rPr>
          <w:rFonts w:asciiTheme="majorHAnsi" w:hAnsiTheme="majorHAnsi" w:cstheme="majorHAnsi"/>
          <w:color w:val="1F4E79" w:themeColor="accent1" w:themeShade="80"/>
        </w:rPr>
        <w:t>.</w:t>
      </w:r>
    </w:p>
    <w:p w14:paraId="6B16827D" w14:textId="05269FE2" w:rsidR="003D51A8" w:rsidRPr="00114724" w:rsidRDefault="003D51A8" w:rsidP="00925ED5">
      <w:pPr>
        <w:pStyle w:val="ListParagraph"/>
        <w:numPr>
          <w:ilvl w:val="0"/>
          <w:numId w:val="31"/>
        </w:numPr>
        <w:spacing w:after="120"/>
        <w:ind w:left="714" w:hanging="357"/>
        <w:rPr>
          <w:rFonts w:asciiTheme="majorHAnsi" w:hAnsiTheme="majorHAnsi" w:cstheme="majorHAnsi"/>
          <w:color w:val="1F4E79" w:themeColor="accent1" w:themeShade="80"/>
        </w:rPr>
      </w:pPr>
      <w:r>
        <w:rPr>
          <w:rFonts w:asciiTheme="majorHAnsi" w:hAnsiTheme="majorHAnsi" w:cstheme="majorHAnsi"/>
          <w:color w:val="1F4E79" w:themeColor="accent1" w:themeShade="80"/>
        </w:rPr>
        <w:t xml:space="preserve">The four members of the </w:t>
      </w:r>
      <w:r w:rsidR="00363DE7">
        <w:rPr>
          <w:rFonts w:asciiTheme="majorHAnsi" w:hAnsiTheme="majorHAnsi" w:cstheme="majorHAnsi"/>
          <w:color w:val="1F4E79" w:themeColor="accent1" w:themeShade="80"/>
        </w:rPr>
        <w:t>sub-committee have not used PAWSA previously so it would be a good idea to ask an IALA member with more familiarity</w:t>
      </w:r>
      <w:r w:rsidR="00C231F6">
        <w:rPr>
          <w:rFonts w:asciiTheme="majorHAnsi" w:hAnsiTheme="majorHAnsi" w:cstheme="majorHAnsi"/>
          <w:color w:val="1F4E79" w:themeColor="accent1" w:themeShade="80"/>
        </w:rPr>
        <w:t xml:space="preserve"> of the tool to review the next iteration of the working document.</w:t>
      </w:r>
    </w:p>
    <w:p w14:paraId="0D9E90E3" w14:textId="5BA937DC" w:rsidR="0013542E" w:rsidRDefault="0013542E" w:rsidP="00450CF2">
      <w:pPr>
        <w:pStyle w:val="Heading1"/>
        <w:rPr>
          <w:sz w:val="22"/>
          <w:szCs w:val="22"/>
        </w:rPr>
      </w:pPr>
      <w:r w:rsidRPr="00450CF2">
        <w:rPr>
          <w:sz w:val="22"/>
          <w:szCs w:val="22"/>
        </w:rPr>
        <w:t xml:space="preserve">Please note that </w:t>
      </w:r>
      <w:r w:rsidR="000934AA" w:rsidRPr="00450CF2">
        <w:rPr>
          <w:sz w:val="22"/>
          <w:szCs w:val="22"/>
        </w:rPr>
        <w:t xml:space="preserve">in </w:t>
      </w:r>
      <w:r w:rsidRPr="00450CF2">
        <w:rPr>
          <w:sz w:val="22"/>
          <w:szCs w:val="22"/>
        </w:rPr>
        <w:t>the current working version</w:t>
      </w:r>
      <w:r w:rsidR="001D2C05" w:rsidRPr="00450CF2">
        <w:rPr>
          <w:sz w:val="22"/>
          <w:szCs w:val="22"/>
        </w:rPr>
        <w:t xml:space="preserve"> of the G</w:t>
      </w:r>
      <w:r w:rsidR="00A365A1">
        <w:rPr>
          <w:sz w:val="22"/>
          <w:szCs w:val="22"/>
        </w:rPr>
        <w:t>11</w:t>
      </w:r>
      <w:r w:rsidR="001D2C05" w:rsidRPr="00450CF2">
        <w:rPr>
          <w:sz w:val="22"/>
          <w:szCs w:val="22"/>
        </w:rPr>
        <w:t>24</w:t>
      </w:r>
      <w:r w:rsidRPr="00450CF2">
        <w:rPr>
          <w:sz w:val="22"/>
          <w:szCs w:val="22"/>
        </w:rPr>
        <w:t xml:space="preserve"> </w:t>
      </w:r>
      <w:r w:rsidR="000934AA" w:rsidRPr="00450CF2">
        <w:rPr>
          <w:sz w:val="22"/>
          <w:szCs w:val="22"/>
        </w:rPr>
        <w:t xml:space="preserve">contained in the </w:t>
      </w:r>
      <w:proofErr w:type="spellStart"/>
      <w:r w:rsidR="00C231F6">
        <w:rPr>
          <w:sz w:val="22"/>
          <w:szCs w:val="22"/>
        </w:rPr>
        <w:t>F</w:t>
      </w:r>
      <w:r w:rsidR="008156EF" w:rsidRPr="00450CF2">
        <w:rPr>
          <w:sz w:val="22"/>
          <w:szCs w:val="22"/>
        </w:rPr>
        <w:t>ileshare</w:t>
      </w:r>
      <w:proofErr w:type="spellEnd"/>
      <w:r w:rsidR="008156EF" w:rsidRPr="00450CF2">
        <w:rPr>
          <w:sz w:val="22"/>
          <w:szCs w:val="22"/>
        </w:rPr>
        <w:t xml:space="preserve"> ARM 10 “Output Documents to </w:t>
      </w:r>
      <w:r w:rsidR="00114724" w:rsidRPr="00450CF2">
        <w:rPr>
          <w:sz w:val="22"/>
          <w:szCs w:val="22"/>
        </w:rPr>
        <w:t>Committee</w:t>
      </w:r>
      <w:r w:rsidR="008156EF" w:rsidRPr="00450CF2">
        <w:rPr>
          <w:sz w:val="22"/>
          <w:szCs w:val="22"/>
        </w:rPr>
        <w:t xml:space="preserve"> Secretary</w:t>
      </w:r>
      <w:r w:rsidR="00114724" w:rsidRPr="00450CF2">
        <w:rPr>
          <w:sz w:val="22"/>
          <w:szCs w:val="22"/>
        </w:rPr>
        <w:t>”,</w:t>
      </w:r>
      <w:r w:rsidR="00A1076D" w:rsidRPr="00450CF2">
        <w:rPr>
          <w:sz w:val="22"/>
          <w:szCs w:val="22"/>
        </w:rPr>
        <w:t xml:space="preserve"> the </w:t>
      </w:r>
      <w:r w:rsidRPr="00450CF2">
        <w:rPr>
          <w:sz w:val="22"/>
          <w:szCs w:val="22"/>
        </w:rPr>
        <w:t xml:space="preserve">table of contents </w:t>
      </w:r>
      <w:r w:rsidR="00A1076D" w:rsidRPr="00450CF2">
        <w:rPr>
          <w:sz w:val="22"/>
          <w:szCs w:val="22"/>
        </w:rPr>
        <w:t xml:space="preserve">is not currently updating correctly despite several attempts by the secretariat </w:t>
      </w:r>
      <w:r w:rsidR="00114724" w:rsidRPr="00450CF2">
        <w:rPr>
          <w:sz w:val="22"/>
          <w:szCs w:val="22"/>
        </w:rPr>
        <w:t>to rectify it</w:t>
      </w:r>
      <w:r w:rsidR="00C231F6">
        <w:rPr>
          <w:sz w:val="22"/>
          <w:szCs w:val="22"/>
        </w:rPr>
        <w:t>.</w:t>
      </w:r>
    </w:p>
    <w:p w14:paraId="58C4A881" w14:textId="36A9F75F" w:rsidR="00634040" w:rsidRPr="00781A4C" w:rsidRDefault="00161163" w:rsidP="00161163">
      <w:pPr>
        <w:pStyle w:val="Heading1"/>
        <w:rPr>
          <w:sz w:val="22"/>
          <w:szCs w:val="22"/>
        </w:rPr>
      </w:pPr>
      <w:r w:rsidRPr="002569D0">
        <w:rPr>
          <w:sz w:val="22"/>
          <w:szCs w:val="22"/>
        </w:rPr>
        <w:t>Output document title is</w:t>
      </w:r>
      <w:r w:rsidR="002569D0" w:rsidRPr="002569D0">
        <w:rPr>
          <w:sz w:val="22"/>
          <w:szCs w:val="22"/>
        </w:rPr>
        <w:t xml:space="preserve"> </w:t>
      </w:r>
      <w:r w:rsidR="000E2B38">
        <w:rPr>
          <w:sz w:val="22"/>
          <w:szCs w:val="22"/>
        </w:rPr>
        <w:t>ARM10-10.3 WP Guideline 1124 Ed1 The use of PAWSA MKII June 2017</w:t>
      </w:r>
      <w:r w:rsidR="001A2332">
        <w:rPr>
          <w:sz w:val="22"/>
          <w:szCs w:val="22"/>
        </w:rPr>
        <w:t xml:space="preserve"> (ARM9-12.2.20)WorkingfromARM10.docx</w:t>
      </w:r>
      <w:r w:rsidR="001A2332">
        <w:rPr>
          <w:noProof/>
        </w:rPr>
        <w:t xml:space="preserve"> </w:t>
      </w:r>
      <w:r w:rsidR="001A2332" w:rsidRPr="00781A4C">
        <w:rPr>
          <w:noProof/>
          <w:sz w:val="22"/>
          <w:szCs w:val="22"/>
        </w:rPr>
        <w:t xml:space="preserve">and was placed in </w:t>
      </w:r>
      <w:r w:rsidR="00781A4C" w:rsidRPr="00781A4C">
        <w:rPr>
          <w:noProof/>
          <w:sz w:val="22"/>
          <w:szCs w:val="22"/>
        </w:rPr>
        <w:t xml:space="preserve">fileshare </w:t>
      </w:r>
      <w:r w:rsidR="00781A4C">
        <w:rPr>
          <w:noProof/>
          <w:sz w:val="22"/>
          <w:szCs w:val="22"/>
        </w:rPr>
        <w:t>“</w:t>
      </w:r>
      <w:r w:rsidR="00781A4C" w:rsidRPr="00781A4C">
        <w:rPr>
          <w:noProof/>
          <w:sz w:val="22"/>
          <w:szCs w:val="22"/>
        </w:rPr>
        <w:t>Output Dcouments to Committee Secretary</w:t>
      </w:r>
      <w:r w:rsidR="00781A4C">
        <w:rPr>
          <w:noProof/>
          <w:sz w:val="22"/>
          <w:szCs w:val="22"/>
        </w:rPr>
        <w:t>” folder</w:t>
      </w:r>
    </w:p>
    <w:p w14:paraId="3671E07D" w14:textId="77777777" w:rsidR="00A8237F" w:rsidRPr="00114724" w:rsidRDefault="00A8237F" w:rsidP="00A8237F">
      <w:pPr>
        <w:rPr>
          <w:rFonts w:asciiTheme="majorHAnsi" w:hAnsiTheme="majorHAnsi" w:cstheme="majorHAnsi"/>
          <w:color w:val="1F4E79" w:themeColor="accent1" w:themeShade="80"/>
        </w:rPr>
      </w:pPr>
    </w:p>
    <w:p w14:paraId="135B438B" w14:textId="77777777" w:rsidR="000638BA" w:rsidRPr="00114724" w:rsidRDefault="000638BA" w:rsidP="000638BA">
      <w:pPr>
        <w:rPr>
          <w:rFonts w:asciiTheme="majorHAnsi" w:hAnsiTheme="majorHAnsi" w:cstheme="majorHAnsi"/>
          <w:color w:val="1F4E79" w:themeColor="accent1" w:themeShade="80"/>
          <w:lang w:val="en-GB"/>
        </w:rPr>
      </w:pPr>
    </w:p>
    <w:sectPr w:rsidR="000638BA" w:rsidRPr="00114724" w:rsidSect="006E56CC">
      <w:headerReference w:type="default" r:id="rId10"/>
      <w:footerReference w:type="default" r:id="rId11"/>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503C9" w14:textId="77777777" w:rsidR="00F8789D" w:rsidRDefault="00F8789D" w:rsidP="00E75C43">
      <w:r>
        <w:separator/>
      </w:r>
    </w:p>
  </w:endnote>
  <w:endnote w:type="continuationSeparator" w:id="0">
    <w:p w14:paraId="763DAD97" w14:textId="77777777" w:rsidR="00F8789D" w:rsidRDefault="00F8789D" w:rsidP="00E7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87347"/>
      <w:docPartObj>
        <w:docPartGallery w:val="Page Numbers (Bottom of Page)"/>
        <w:docPartUnique/>
      </w:docPartObj>
    </w:sdtPr>
    <w:sdtEndPr/>
    <w:sdtContent>
      <w:sdt>
        <w:sdtPr>
          <w:id w:val="1728636285"/>
          <w:docPartObj>
            <w:docPartGallery w:val="Page Numbers (Top of Page)"/>
            <w:docPartUnique/>
          </w:docPartObj>
        </w:sdtPr>
        <w:sdtEndPr/>
        <w:sdtContent>
          <w:p w14:paraId="365D44A1" w14:textId="3AB98232" w:rsidR="00E75C43" w:rsidRDefault="00E75C43">
            <w:pPr>
              <w:pStyle w:val="Footer"/>
              <w:jc w:val="center"/>
            </w:pPr>
            <w:r w:rsidRPr="00E75C43">
              <w:rPr>
                <w:color w:val="1F4E79" w:themeColor="accent1" w:themeShade="80"/>
              </w:rPr>
              <w:t xml:space="preserve">Page </w:t>
            </w:r>
            <w:r w:rsidRPr="00E75C43">
              <w:rPr>
                <w:b/>
                <w:bCs/>
                <w:color w:val="1F4E79" w:themeColor="accent1" w:themeShade="80"/>
                <w:sz w:val="24"/>
                <w:szCs w:val="24"/>
              </w:rPr>
              <w:fldChar w:fldCharType="begin"/>
            </w:r>
            <w:r w:rsidRPr="00E75C43">
              <w:rPr>
                <w:b/>
                <w:bCs/>
                <w:color w:val="1F4E79" w:themeColor="accent1" w:themeShade="80"/>
              </w:rPr>
              <w:instrText xml:space="preserve"> PAGE </w:instrText>
            </w:r>
            <w:r w:rsidRPr="00E75C43">
              <w:rPr>
                <w:b/>
                <w:bCs/>
                <w:color w:val="1F4E79" w:themeColor="accent1" w:themeShade="80"/>
                <w:sz w:val="24"/>
                <w:szCs w:val="24"/>
              </w:rPr>
              <w:fldChar w:fldCharType="separate"/>
            </w:r>
            <w:r w:rsidRPr="00E75C43">
              <w:rPr>
                <w:b/>
                <w:bCs/>
                <w:noProof/>
                <w:color w:val="1F4E79" w:themeColor="accent1" w:themeShade="80"/>
              </w:rPr>
              <w:t>2</w:t>
            </w:r>
            <w:r w:rsidRPr="00E75C43">
              <w:rPr>
                <w:b/>
                <w:bCs/>
                <w:color w:val="1F4E79" w:themeColor="accent1" w:themeShade="80"/>
                <w:sz w:val="24"/>
                <w:szCs w:val="24"/>
              </w:rPr>
              <w:fldChar w:fldCharType="end"/>
            </w:r>
            <w:r w:rsidRPr="00E75C43">
              <w:rPr>
                <w:color w:val="1F4E79" w:themeColor="accent1" w:themeShade="80"/>
              </w:rPr>
              <w:t xml:space="preserve"> of </w:t>
            </w:r>
            <w:r w:rsidRPr="00E75C43">
              <w:rPr>
                <w:b/>
                <w:bCs/>
                <w:color w:val="1F4E79" w:themeColor="accent1" w:themeShade="80"/>
                <w:sz w:val="24"/>
                <w:szCs w:val="24"/>
              </w:rPr>
              <w:fldChar w:fldCharType="begin"/>
            </w:r>
            <w:r w:rsidRPr="00E75C43">
              <w:rPr>
                <w:b/>
                <w:bCs/>
                <w:color w:val="1F4E79" w:themeColor="accent1" w:themeShade="80"/>
              </w:rPr>
              <w:instrText xml:space="preserve"> NUMPAGES  </w:instrText>
            </w:r>
            <w:r w:rsidRPr="00E75C43">
              <w:rPr>
                <w:b/>
                <w:bCs/>
                <w:color w:val="1F4E79" w:themeColor="accent1" w:themeShade="80"/>
                <w:sz w:val="24"/>
                <w:szCs w:val="24"/>
              </w:rPr>
              <w:fldChar w:fldCharType="separate"/>
            </w:r>
            <w:r w:rsidRPr="00E75C43">
              <w:rPr>
                <w:b/>
                <w:bCs/>
                <w:noProof/>
                <w:color w:val="1F4E79" w:themeColor="accent1" w:themeShade="80"/>
              </w:rPr>
              <w:t>2</w:t>
            </w:r>
            <w:r w:rsidRPr="00E75C43">
              <w:rPr>
                <w:b/>
                <w:bCs/>
                <w:color w:val="1F4E79" w:themeColor="accent1" w:themeShade="80"/>
                <w:sz w:val="24"/>
                <w:szCs w:val="24"/>
              </w:rPr>
              <w:fldChar w:fldCharType="end"/>
            </w:r>
          </w:p>
        </w:sdtContent>
      </w:sdt>
    </w:sdtContent>
  </w:sdt>
  <w:p w14:paraId="12D57969" w14:textId="77777777" w:rsidR="00E75C43" w:rsidRDefault="00E75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91271" w14:textId="77777777" w:rsidR="00F8789D" w:rsidRDefault="00F8789D" w:rsidP="00E75C43">
      <w:r>
        <w:separator/>
      </w:r>
    </w:p>
  </w:footnote>
  <w:footnote w:type="continuationSeparator" w:id="0">
    <w:p w14:paraId="21C3C04B" w14:textId="77777777" w:rsidR="00F8789D" w:rsidRDefault="00F8789D" w:rsidP="00E75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E244C" w14:textId="745DE2FC" w:rsidR="00C63C96" w:rsidRDefault="00C63C96" w:rsidP="00C63C96">
    <w:pPr>
      <w:pStyle w:val="Header"/>
      <w:jc w:val="right"/>
      <w:rPr>
        <w:lang w:val="en-GB"/>
      </w:rPr>
    </w:pPr>
    <w:r>
      <w:rPr>
        <w:lang w:val="en-GB"/>
      </w:rPr>
      <w:t>ARM11-10.4</w:t>
    </w:r>
  </w:p>
  <w:p w14:paraId="50D9DCD9" w14:textId="14A9AB23" w:rsidR="00C63C96" w:rsidRPr="00C63C96" w:rsidRDefault="00C63C96" w:rsidP="00C63C96">
    <w:pPr>
      <w:pStyle w:val="Header"/>
      <w:jc w:val="right"/>
      <w:rPr>
        <w:lang w:val="en-GB"/>
      </w:rPr>
    </w:pPr>
    <w:r>
      <w:rPr>
        <w:lang w:val="en-GB"/>
      </w:rPr>
      <w:t>(ARM10-13.4.4)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9BF11C8"/>
    <w:multiLevelType w:val="hybridMultilevel"/>
    <w:tmpl w:val="CADA8192"/>
    <w:lvl w:ilvl="0" w:tplc="5A3C0E66">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9246DC"/>
    <w:multiLevelType w:val="hybridMultilevel"/>
    <w:tmpl w:val="76ECB3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D6A1530"/>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249E6840"/>
    <w:multiLevelType w:val="hybridMultilevel"/>
    <w:tmpl w:val="3A0E9F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FBB56F4"/>
    <w:multiLevelType w:val="multilevel"/>
    <w:tmpl w:val="39003EDC"/>
    <w:lvl w:ilvl="0">
      <w:start w:val="1"/>
      <w:numFmt w:val="bullet"/>
      <w:lvlText w:val=""/>
      <w:lvlJc w:val="left"/>
      <w:pPr>
        <w:ind w:left="864" w:hanging="432"/>
      </w:pPr>
      <w:rPr>
        <w:rFonts w:ascii="Symbol" w:hAnsi="Symbol" w:cs="Symbol" w:hint="default"/>
      </w:rPr>
    </w:lvl>
    <w:lvl w:ilvl="1">
      <w:start w:val="1"/>
      <w:numFmt w:val="decimal"/>
      <w:lvlText w:val="%1.%2"/>
      <w:lvlJc w:val="left"/>
      <w:pPr>
        <w:ind w:left="1008" w:hanging="576"/>
      </w:p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21"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49BF769A"/>
    <w:multiLevelType w:val="hybridMultilevel"/>
    <w:tmpl w:val="E758AD1C"/>
    <w:lvl w:ilvl="0" w:tplc="5A3C0E66">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A334D59"/>
    <w:multiLevelType w:val="multilevel"/>
    <w:tmpl w:val="601EECE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5"/>
  </w:num>
  <w:num w:numId="2">
    <w:abstractNumId w:val="13"/>
  </w:num>
  <w:num w:numId="3">
    <w:abstractNumId w:val="10"/>
  </w:num>
  <w:num w:numId="4">
    <w:abstractNumId w:val="27"/>
  </w:num>
  <w:num w:numId="5">
    <w:abstractNumId w:val="15"/>
  </w:num>
  <w:num w:numId="6">
    <w:abstractNumId w:val="21"/>
  </w:num>
  <w:num w:numId="7">
    <w:abstractNumId w:val="2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8"/>
  </w:num>
  <w:num w:numId="19">
    <w:abstractNumId w:val="19"/>
  </w:num>
  <w:num w:numId="20">
    <w:abstractNumId w:val="26"/>
  </w:num>
  <w:num w:numId="21">
    <w:abstractNumId w:val="22"/>
  </w:num>
  <w:num w:numId="22">
    <w:abstractNumId w:val="11"/>
  </w:num>
  <w:num w:numId="23">
    <w:abstractNumId w:val="29"/>
  </w:num>
  <w:num w:numId="24">
    <w:abstractNumId w:val="14"/>
  </w:num>
  <w:num w:numId="25">
    <w:abstractNumId w:val="14"/>
  </w:num>
  <w:num w:numId="26">
    <w:abstractNumId w:val="17"/>
  </w:num>
  <w:num w:numId="27">
    <w:abstractNumId w:val="28"/>
  </w:num>
  <w:num w:numId="28">
    <w:abstractNumId w:val="16"/>
  </w:num>
  <w:num w:numId="29">
    <w:abstractNumId w:val="20"/>
  </w:num>
  <w:num w:numId="30">
    <w:abstractNumId w:val="12"/>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8BA"/>
    <w:rsid w:val="000638BA"/>
    <w:rsid w:val="000934AA"/>
    <w:rsid w:val="000D4433"/>
    <w:rsid w:val="000E2B38"/>
    <w:rsid w:val="00114724"/>
    <w:rsid w:val="001232D3"/>
    <w:rsid w:val="0013542E"/>
    <w:rsid w:val="00161163"/>
    <w:rsid w:val="001927A7"/>
    <w:rsid w:val="00194324"/>
    <w:rsid w:val="001A2332"/>
    <w:rsid w:val="001D2C05"/>
    <w:rsid w:val="002569D0"/>
    <w:rsid w:val="002C03BF"/>
    <w:rsid w:val="003024BB"/>
    <w:rsid w:val="00334DF5"/>
    <w:rsid w:val="00336E25"/>
    <w:rsid w:val="00363DE7"/>
    <w:rsid w:val="003D51A8"/>
    <w:rsid w:val="00413879"/>
    <w:rsid w:val="00450CF2"/>
    <w:rsid w:val="004A4630"/>
    <w:rsid w:val="004A6557"/>
    <w:rsid w:val="004A6F3E"/>
    <w:rsid w:val="004C1B0B"/>
    <w:rsid w:val="004D376F"/>
    <w:rsid w:val="004E1FE0"/>
    <w:rsid w:val="004F0024"/>
    <w:rsid w:val="00515E0E"/>
    <w:rsid w:val="005344AF"/>
    <w:rsid w:val="00541E13"/>
    <w:rsid w:val="005640DD"/>
    <w:rsid w:val="005D5260"/>
    <w:rsid w:val="00634040"/>
    <w:rsid w:val="006373B2"/>
    <w:rsid w:val="00645252"/>
    <w:rsid w:val="00645BE9"/>
    <w:rsid w:val="006D3D74"/>
    <w:rsid w:val="006E56CC"/>
    <w:rsid w:val="00781A4C"/>
    <w:rsid w:val="007A3434"/>
    <w:rsid w:val="007F620E"/>
    <w:rsid w:val="008156EF"/>
    <w:rsid w:val="008207DF"/>
    <w:rsid w:val="0083569A"/>
    <w:rsid w:val="0085111C"/>
    <w:rsid w:val="008619BB"/>
    <w:rsid w:val="00884231"/>
    <w:rsid w:val="008D2A31"/>
    <w:rsid w:val="0090265B"/>
    <w:rsid w:val="00925ED5"/>
    <w:rsid w:val="0099121E"/>
    <w:rsid w:val="009F4A06"/>
    <w:rsid w:val="00A02692"/>
    <w:rsid w:val="00A1076D"/>
    <w:rsid w:val="00A365A1"/>
    <w:rsid w:val="00A8237F"/>
    <w:rsid w:val="00A9204E"/>
    <w:rsid w:val="00AD7AF9"/>
    <w:rsid w:val="00B60126"/>
    <w:rsid w:val="00B85CA5"/>
    <w:rsid w:val="00BC4921"/>
    <w:rsid w:val="00BE5282"/>
    <w:rsid w:val="00C14397"/>
    <w:rsid w:val="00C231F6"/>
    <w:rsid w:val="00C63BE1"/>
    <w:rsid w:val="00C63C96"/>
    <w:rsid w:val="00D04178"/>
    <w:rsid w:val="00E221CD"/>
    <w:rsid w:val="00E44CD1"/>
    <w:rsid w:val="00E673DC"/>
    <w:rsid w:val="00E75C43"/>
    <w:rsid w:val="00F13EC3"/>
    <w:rsid w:val="00F80CD5"/>
    <w:rsid w:val="00F8789D"/>
    <w:rsid w:val="00FA2D4D"/>
    <w:rsid w:val="00FD1A9C"/>
    <w:rsid w:val="00FD4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99625"/>
  <w15:chartTrackingRefBased/>
  <w15:docId w15:val="{A8594C60-F1E9-4A4E-A00D-A73344798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numPr>
        <w:numId w:val="28"/>
      </w:numPr>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numPr>
        <w:ilvl w:val="1"/>
        <w:numId w:val="28"/>
      </w:numPr>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numPr>
        <w:ilvl w:val="2"/>
        <w:numId w:val="28"/>
      </w:numPr>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numPr>
        <w:ilvl w:val="3"/>
        <w:numId w:val="28"/>
      </w:numPr>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numPr>
        <w:ilvl w:val="4"/>
        <w:numId w:val="28"/>
      </w:numPr>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numPr>
        <w:ilvl w:val="5"/>
        <w:numId w:val="28"/>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numPr>
        <w:ilvl w:val="6"/>
        <w:numId w:val="28"/>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numPr>
        <w:ilvl w:val="7"/>
        <w:numId w:val="28"/>
      </w:numPr>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numPr>
        <w:ilvl w:val="8"/>
        <w:numId w:val="28"/>
      </w:numPr>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qFormat/>
    <w:rsid w:val="000638BA"/>
    <w:pPr>
      <w:ind w:left="720"/>
    </w:pPr>
    <w:rPr>
      <w:rFonts w:ascii="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86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AppData\Local\Packages\Microsoft.Office.Desktop_8wekyb3d8bbwe\LocalCache\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FF0DE5-5083-4293-930F-0D64FA5B21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D9DE6D-1D1B-4EDC-B599-3A8FBD9C2761}">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0</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Robinson</dc:creator>
  <cp:keywords/>
  <dc:description/>
  <cp:lastModifiedBy>Tom Southall</cp:lastModifiedBy>
  <cp:revision>3</cp:revision>
  <dcterms:created xsi:type="dcterms:W3CDTF">2019-10-17T13:46:00Z</dcterms:created>
  <dcterms:modified xsi:type="dcterms:W3CDTF">2020-02-14T11:38:00Z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0x010100FB4C6AB7F4ADAA4ABC48D93214FE8FD2</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Order">
    <vt:r8>17716500</vt:r8>
  </property>
</Properties>
</file>